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3" w:rsidRPr="00BE2670" w:rsidRDefault="00DC7268" w:rsidP="00BE2670">
      <w:pPr>
        <w:jc w:val="center"/>
        <w:rPr>
          <w:rFonts w:cs="Simplified Arabic"/>
          <w:b/>
          <w:bCs/>
          <w:sz w:val="28"/>
          <w:szCs w:val="28"/>
          <w:rtl/>
        </w:rPr>
      </w:pPr>
      <w:r w:rsidRPr="00BE2670">
        <w:rPr>
          <w:rFonts w:cs="Simplified Arabic"/>
          <w:b/>
          <w:bCs/>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274.85pt;margin-top:-29.4pt;width:175.85pt;height:125.55pt;z-index:251658240;mso-height-percent:200;mso-height-percent:200;mso-width-relative:margin;mso-height-relative:margin" stroked="f">
            <v:textbox style="mso-next-textbox:#_x0000_s1026;mso-fit-shape-to-text:t">
              <w:txbxContent>
                <w:p w:rsidR="00D17A83" w:rsidRPr="00C72205" w:rsidRDefault="00D17A83" w:rsidP="00D17A83">
                  <w:pPr>
                    <w:spacing w:after="0" w:line="240" w:lineRule="auto"/>
                    <w:jc w:val="center"/>
                    <w:rPr>
                      <w:rFonts w:cs="PT Bold Heading"/>
                      <w:sz w:val="24"/>
                      <w:szCs w:val="24"/>
                      <w:rtl/>
                    </w:rPr>
                  </w:pPr>
                  <w:r w:rsidRPr="00C72205">
                    <w:rPr>
                      <w:rFonts w:cs="PT Bold Heading" w:hint="cs"/>
                      <w:sz w:val="24"/>
                      <w:szCs w:val="24"/>
                      <w:rtl/>
                    </w:rPr>
                    <w:t>الجمهورية اليمنية</w:t>
                  </w:r>
                </w:p>
                <w:p w:rsidR="00D17A83" w:rsidRPr="00C72205" w:rsidRDefault="00D17A83" w:rsidP="00D17A83">
                  <w:pPr>
                    <w:spacing w:after="0" w:line="240" w:lineRule="auto"/>
                    <w:jc w:val="center"/>
                    <w:rPr>
                      <w:rFonts w:cs="DecoType Naskh"/>
                      <w:b/>
                      <w:bCs/>
                      <w:sz w:val="24"/>
                      <w:szCs w:val="24"/>
                      <w:rtl/>
                    </w:rPr>
                  </w:pPr>
                  <w:r w:rsidRPr="00C72205">
                    <w:rPr>
                      <w:rFonts w:cs="DecoType Naskh" w:hint="cs"/>
                      <w:b/>
                      <w:bCs/>
                      <w:sz w:val="24"/>
                      <w:szCs w:val="24"/>
                      <w:rtl/>
                    </w:rPr>
                    <w:t>وزارة التعليم العالي والبحث العلمي</w:t>
                  </w:r>
                </w:p>
                <w:p w:rsidR="00D17A83" w:rsidRPr="00C72205" w:rsidRDefault="00D17A83" w:rsidP="00D17A83">
                  <w:pPr>
                    <w:spacing w:after="0" w:line="240" w:lineRule="auto"/>
                    <w:jc w:val="center"/>
                    <w:rPr>
                      <w:rFonts w:cs="PT Bold Heading"/>
                      <w:sz w:val="24"/>
                      <w:szCs w:val="24"/>
                      <w:rtl/>
                    </w:rPr>
                  </w:pPr>
                  <w:r w:rsidRPr="00C72205">
                    <w:rPr>
                      <w:rFonts w:cs="PT Bold Heading" w:hint="cs"/>
                      <w:sz w:val="24"/>
                      <w:szCs w:val="24"/>
                      <w:rtl/>
                    </w:rPr>
                    <w:t>جامعة الإيمان</w:t>
                  </w:r>
                </w:p>
                <w:p w:rsidR="00D17A83" w:rsidRPr="00C72205" w:rsidRDefault="00D17A83" w:rsidP="00D17A83">
                  <w:pPr>
                    <w:spacing w:after="0" w:line="240" w:lineRule="auto"/>
                    <w:jc w:val="center"/>
                    <w:rPr>
                      <w:rFonts w:cs="DecoType Naskh"/>
                      <w:b/>
                      <w:bCs/>
                      <w:sz w:val="24"/>
                      <w:szCs w:val="24"/>
                      <w:rtl/>
                    </w:rPr>
                  </w:pPr>
                  <w:r>
                    <w:rPr>
                      <w:rFonts w:cs="DecoType Naskh" w:hint="cs"/>
                      <w:b/>
                      <w:bCs/>
                      <w:sz w:val="24"/>
                      <w:szCs w:val="24"/>
                      <w:rtl/>
                    </w:rPr>
                    <w:t xml:space="preserve">عمادة </w:t>
                  </w:r>
                  <w:r w:rsidRPr="00C72205">
                    <w:rPr>
                      <w:rFonts w:cs="DecoType Naskh" w:hint="cs"/>
                      <w:b/>
                      <w:bCs/>
                      <w:sz w:val="24"/>
                      <w:szCs w:val="24"/>
                      <w:rtl/>
                    </w:rPr>
                    <w:t>الدراسات العليا والبحث العلمي</w:t>
                  </w:r>
                </w:p>
                <w:p w:rsidR="00D17A83" w:rsidRPr="00C72205" w:rsidRDefault="00D17A83" w:rsidP="00D17A83">
                  <w:pPr>
                    <w:spacing w:after="0" w:line="240" w:lineRule="auto"/>
                    <w:jc w:val="center"/>
                    <w:rPr>
                      <w:rFonts w:cs="DecoType Naskh"/>
                      <w:b/>
                      <w:bCs/>
                      <w:sz w:val="24"/>
                      <w:szCs w:val="24"/>
                      <w:rtl/>
                    </w:rPr>
                  </w:pPr>
                  <w:r w:rsidRPr="00C72205">
                    <w:rPr>
                      <w:rFonts w:cs="DecoType Naskh" w:hint="cs"/>
                      <w:b/>
                      <w:bCs/>
                      <w:sz w:val="24"/>
                      <w:szCs w:val="24"/>
                      <w:rtl/>
                    </w:rPr>
                    <w:t>كلية الشريعة</w:t>
                  </w:r>
                  <w:r>
                    <w:rPr>
                      <w:rFonts w:cs="DecoType Naskh" w:hint="cs"/>
                      <w:b/>
                      <w:bCs/>
                      <w:sz w:val="24"/>
                      <w:szCs w:val="24"/>
                      <w:rtl/>
                    </w:rPr>
                    <w:t xml:space="preserve"> -  </w:t>
                  </w:r>
                  <w:r w:rsidRPr="00C72205">
                    <w:rPr>
                      <w:rFonts w:cs="DecoType Naskh" w:hint="cs"/>
                      <w:b/>
                      <w:bCs/>
                      <w:sz w:val="24"/>
                      <w:szCs w:val="24"/>
                      <w:rtl/>
                    </w:rPr>
                    <w:t>قسم الفقه</w:t>
                  </w:r>
                </w:p>
              </w:txbxContent>
            </v:textbox>
          </v:shape>
        </w:pict>
      </w:r>
    </w:p>
    <w:p w:rsidR="00D17A83" w:rsidRPr="00BE2670" w:rsidRDefault="00D17A83" w:rsidP="00BE2670">
      <w:pPr>
        <w:jc w:val="center"/>
        <w:rPr>
          <w:rFonts w:cs="Simplified Arabic"/>
          <w:sz w:val="28"/>
          <w:szCs w:val="28"/>
          <w:rtl/>
        </w:rPr>
      </w:pPr>
    </w:p>
    <w:p w:rsidR="00D17A83" w:rsidRPr="00BE2670" w:rsidRDefault="00D17A83" w:rsidP="00BE2670">
      <w:pPr>
        <w:jc w:val="center"/>
        <w:rPr>
          <w:rFonts w:cs="Simplified Arabic"/>
          <w:sz w:val="28"/>
          <w:szCs w:val="28"/>
          <w:rtl/>
        </w:rPr>
      </w:pPr>
    </w:p>
    <w:p w:rsidR="00BE2670" w:rsidRDefault="00BE2670" w:rsidP="00BE2670">
      <w:pPr>
        <w:jc w:val="center"/>
        <w:rPr>
          <w:rFonts w:cs="Simplified Arabic" w:hint="cs"/>
          <w:sz w:val="28"/>
          <w:szCs w:val="28"/>
          <w:rtl/>
        </w:rPr>
      </w:pPr>
    </w:p>
    <w:p w:rsidR="00D17A83" w:rsidRPr="00BE2670" w:rsidRDefault="00D17A83" w:rsidP="00BE2670">
      <w:pPr>
        <w:jc w:val="center"/>
        <w:rPr>
          <w:rFonts w:cs="Simplified Arabic"/>
          <w:sz w:val="28"/>
          <w:szCs w:val="28"/>
          <w:rtl/>
        </w:rPr>
      </w:pPr>
      <w:r w:rsidRPr="00BE2670">
        <w:rPr>
          <w:rFonts w:cs="Simplified Arabic" w:hint="cs"/>
          <w:sz w:val="28"/>
          <w:szCs w:val="28"/>
          <w:rtl/>
        </w:rPr>
        <w:t>أحكام النسل بين الشريعة والمؤتمرات السكانية</w:t>
      </w:r>
    </w:p>
    <w:p w:rsidR="00D17A83" w:rsidRPr="00BE2670" w:rsidRDefault="00D17A83" w:rsidP="00BE2670">
      <w:pPr>
        <w:jc w:val="center"/>
        <w:rPr>
          <w:rFonts w:cs="Simplified Arabic"/>
          <w:b/>
          <w:bCs/>
          <w:sz w:val="28"/>
          <w:szCs w:val="28"/>
          <w:rtl/>
        </w:rPr>
      </w:pPr>
      <w:r w:rsidRPr="00BE2670">
        <w:rPr>
          <w:rFonts w:cs="Simplified Arabic" w:hint="cs"/>
          <w:b/>
          <w:bCs/>
          <w:sz w:val="28"/>
          <w:szCs w:val="28"/>
          <w:rtl/>
        </w:rPr>
        <w:t xml:space="preserve">بحث تكميلي لنيل درجة </w:t>
      </w:r>
      <w:proofErr w:type="spellStart"/>
      <w:r w:rsidRPr="00BE2670">
        <w:rPr>
          <w:rFonts w:cs="Simplified Arabic" w:hint="cs"/>
          <w:b/>
          <w:bCs/>
          <w:sz w:val="28"/>
          <w:szCs w:val="28"/>
          <w:rtl/>
        </w:rPr>
        <w:t>المشيخة</w:t>
      </w:r>
      <w:proofErr w:type="spellEnd"/>
      <w:r w:rsidRPr="00BE2670">
        <w:rPr>
          <w:rFonts w:cs="Simplified Arabic" w:hint="cs"/>
          <w:b/>
          <w:bCs/>
          <w:sz w:val="28"/>
          <w:szCs w:val="28"/>
          <w:rtl/>
        </w:rPr>
        <w:t xml:space="preserve"> (الماجستير)</w:t>
      </w:r>
    </w:p>
    <w:p w:rsidR="00D17A83" w:rsidRPr="00BE2670" w:rsidRDefault="00D17A83" w:rsidP="00BE2670">
      <w:pPr>
        <w:spacing w:after="0" w:line="360" w:lineRule="auto"/>
        <w:jc w:val="center"/>
        <w:rPr>
          <w:rFonts w:cs="Simplified Arabic"/>
          <w:sz w:val="28"/>
          <w:szCs w:val="28"/>
          <w:rtl/>
        </w:rPr>
      </w:pPr>
      <w:r w:rsidRPr="00BE2670">
        <w:rPr>
          <w:rFonts w:cs="Simplified Arabic" w:hint="cs"/>
          <w:sz w:val="28"/>
          <w:szCs w:val="28"/>
          <w:rtl/>
        </w:rPr>
        <w:t>إعداد الطالب</w:t>
      </w:r>
    </w:p>
    <w:p w:rsidR="00D17A83" w:rsidRPr="00BE2670" w:rsidRDefault="00D17A83" w:rsidP="00BE2670">
      <w:pPr>
        <w:spacing w:after="0" w:line="360" w:lineRule="auto"/>
        <w:jc w:val="center"/>
        <w:rPr>
          <w:rFonts w:cs="Simplified Arabic"/>
          <w:sz w:val="28"/>
          <w:szCs w:val="28"/>
          <w:rtl/>
        </w:rPr>
      </w:pPr>
      <w:r w:rsidRPr="00BE2670">
        <w:rPr>
          <w:rFonts w:cs="Simplified Arabic" w:hint="cs"/>
          <w:sz w:val="28"/>
          <w:szCs w:val="28"/>
          <w:rtl/>
        </w:rPr>
        <w:t>سلمان محمد حمود الصديق</w:t>
      </w:r>
    </w:p>
    <w:p w:rsidR="00D17A83" w:rsidRPr="00BE2670" w:rsidRDefault="00D17A83" w:rsidP="00BE2670">
      <w:pPr>
        <w:spacing w:after="0"/>
        <w:jc w:val="center"/>
        <w:rPr>
          <w:rFonts w:cs="Simplified Arabic"/>
          <w:sz w:val="28"/>
          <w:szCs w:val="28"/>
          <w:rtl/>
        </w:rPr>
      </w:pPr>
    </w:p>
    <w:p w:rsidR="00D17A83" w:rsidRPr="00BE2670" w:rsidRDefault="00D17A83" w:rsidP="00BE2670">
      <w:pPr>
        <w:spacing w:after="0"/>
        <w:jc w:val="center"/>
        <w:rPr>
          <w:rFonts w:cs="Simplified Arabic"/>
          <w:b/>
          <w:bCs/>
          <w:sz w:val="28"/>
          <w:szCs w:val="28"/>
        </w:rPr>
      </w:pPr>
      <w:r w:rsidRPr="00BE2670">
        <w:rPr>
          <w:rFonts w:cs="Simplified Arabic" w:hint="cs"/>
          <w:b/>
          <w:bCs/>
          <w:sz w:val="28"/>
          <w:szCs w:val="28"/>
          <w:rtl/>
        </w:rPr>
        <w:t>1429هـ - 2008م</w:t>
      </w:r>
    </w:p>
    <w:p w:rsidR="00BE2670" w:rsidRDefault="00BE2670" w:rsidP="00D17A83">
      <w:pPr>
        <w:widowControl w:val="0"/>
        <w:tabs>
          <w:tab w:val="left" w:pos="-144"/>
          <w:tab w:val="left" w:pos="423"/>
        </w:tabs>
        <w:spacing w:after="0"/>
        <w:jc w:val="both"/>
        <w:rPr>
          <w:rFonts w:ascii="Times New Roman" w:eastAsia="Times New Roman" w:hAnsi="Times New Roman" w:cs="Simplified Arabic" w:hint="cs"/>
          <w:b/>
          <w:bCs/>
          <w:sz w:val="32"/>
          <w:szCs w:val="32"/>
          <w:rtl/>
        </w:rPr>
      </w:pPr>
    </w:p>
    <w:p w:rsidR="00BE2670" w:rsidRDefault="00BE2670" w:rsidP="00D17A83">
      <w:pPr>
        <w:widowControl w:val="0"/>
        <w:tabs>
          <w:tab w:val="left" w:pos="-144"/>
          <w:tab w:val="left" w:pos="423"/>
        </w:tabs>
        <w:spacing w:after="0"/>
        <w:jc w:val="both"/>
        <w:rPr>
          <w:rFonts w:ascii="Times New Roman" w:eastAsia="Times New Roman" w:hAnsi="Times New Roman" w:cs="Simplified Arabic" w:hint="cs"/>
          <w:b/>
          <w:bCs/>
          <w:sz w:val="32"/>
          <w:szCs w:val="32"/>
          <w:rtl/>
        </w:rPr>
      </w:pPr>
    </w:p>
    <w:p w:rsidR="00BE2670" w:rsidRDefault="00BE2670" w:rsidP="00D17A83">
      <w:pPr>
        <w:widowControl w:val="0"/>
        <w:tabs>
          <w:tab w:val="left" w:pos="-144"/>
          <w:tab w:val="left" w:pos="423"/>
        </w:tabs>
        <w:spacing w:after="0"/>
        <w:jc w:val="both"/>
        <w:rPr>
          <w:rFonts w:ascii="Times New Roman" w:eastAsia="Times New Roman" w:hAnsi="Times New Roman" w:cs="Simplified Arabic" w:hint="cs"/>
          <w:b/>
          <w:bCs/>
          <w:sz w:val="32"/>
          <w:szCs w:val="32"/>
          <w:rtl/>
        </w:rPr>
      </w:pPr>
    </w:p>
    <w:p w:rsidR="00D17A83" w:rsidRDefault="00D17A83" w:rsidP="00E12BA3">
      <w:pPr>
        <w:widowControl w:val="0"/>
        <w:tabs>
          <w:tab w:val="left" w:pos="-144"/>
          <w:tab w:val="left" w:pos="423"/>
        </w:tabs>
        <w:spacing w:after="0"/>
        <w:jc w:val="center"/>
        <w:rPr>
          <w:rFonts w:ascii="Times New Roman" w:eastAsia="Times New Roman" w:hAnsi="Times New Roman" w:cs="Simplified Arabic" w:hint="cs"/>
          <w:b/>
          <w:bCs/>
          <w:sz w:val="32"/>
          <w:szCs w:val="32"/>
          <w:rtl/>
        </w:rPr>
      </w:pPr>
      <w:r w:rsidRPr="00336E6D">
        <w:rPr>
          <w:rFonts w:ascii="Times New Roman" w:eastAsia="Times New Roman" w:hAnsi="Times New Roman" w:cs="Simplified Arabic" w:hint="cs"/>
          <w:b/>
          <w:bCs/>
          <w:sz w:val="32"/>
          <w:szCs w:val="32"/>
          <w:rtl/>
        </w:rPr>
        <w:t>الخاتمة</w:t>
      </w:r>
    </w:p>
    <w:p w:rsidR="00E12BA3" w:rsidRPr="00336E6D" w:rsidRDefault="00E12BA3" w:rsidP="00E12BA3">
      <w:pPr>
        <w:widowControl w:val="0"/>
        <w:tabs>
          <w:tab w:val="left" w:pos="-144"/>
          <w:tab w:val="left" w:pos="423"/>
        </w:tabs>
        <w:spacing w:after="0"/>
        <w:jc w:val="center"/>
        <w:rPr>
          <w:rFonts w:ascii="Times New Roman" w:eastAsia="Times New Roman" w:hAnsi="Times New Roman" w:cs="Simplified Arabic"/>
          <w:b/>
          <w:bCs/>
          <w:sz w:val="32"/>
          <w:szCs w:val="32"/>
          <w:rtl/>
        </w:rPr>
      </w:pP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إن من الشكر لله تعالى أن وفقني إلى إتمام هذا البحث فله الحمد على ما يسر وسهل ووفق، والباحث سعياً منه للارتباط بالمنهج العلمي الذي يفرض أن يقدم الباحث نتائج بحثه مما يعد ثمرة تقدم للاستفادة منها.</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b/>
          <w:bCs/>
          <w:sz w:val="28"/>
          <w:szCs w:val="28"/>
          <w:rtl/>
        </w:rPr>
      </w:pPr>
      <w:r w:rsidRPr="00E12BA3">
        <w:rPr>
          <w:rFonts w:ascii="Times New Roman" w:eastAsia="Times New Roman" w:hAnsi="Times New Roman" w:cs="Simplified Arabic" w:hint="cs"/>
          <w:b/>
          <w:bCs/>
          <w:sz w:val="28"/>
          <w:szCs w:val="28"/>
          <w:rtl/>
        </w:rPr>
        <w:t>وقد خرجت من هذا البحث بنتائج هي:</w:t>
      </w:r>
      <w:r w:rsidRPr="00E12BA3">
        <w:rPr>
          <w:rFonts w:ascii="Times New Roman" w:eastAsia="Times New Roman" w:hAnsi="Times New Roman" w:cs="Simplified Arabic"/>
          <w:b/>
          <w:bCs/>
          <w:sz w:val="28"/>
          <w:szCs w:val="28"/>
          <w:rtl/>
        </w:rPr>
        <w:noBreakHyphen/>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1- إنه مما لا مراء فيه ولا شك أن سعادة البشرية تكمن وراء تمسكها بالتشريع الإلهي الذي جاء </w:t>
      </w:r>
      <w:proofErr w:type="spellStart"/>
      <w:r w:rsidRPr="00E12BA3">
        <w:rPr>
          <w:rFonts w:ascii="Times New Roman" w:eastAsia="Times New Roman" w:hAnsi="Times New Roman" w:cs="Simplified Arabic" w:hint="cs"/>
          <w:sz w:val="28"/>
          <w:szCs w:val="28"/>
          <w:rtl/>
        </w:rPr>
        <w:t>به</w:t>
      </w:r>
      <w:proofErr w:type="spellEnd"/>
      <w:r w:rsidRPr="00E12BA3">
        <w:rPr>
          <w:rFonts w:ascii="Times New Roman" w:eastAsia="Times New Roman" w:hAnsi="Times New Roman" w:cs="Simplified Arabic" w:hint="cs"/>
          <w:sz w:val="28"/>
          <w:szCs w:val="28"/>
          <w:rtl/>
        </w:rPr>
        <w:t xml:space="preserve"> محمد بن عبد الله</w:t>
      </w:r>
      <w:r w:rsidRPr="00E12BA3">
        <w:rPr>
          <w:rFonts w:ascii="Times New Roman" w:eastAsia="Times New Roman" w:hAnsi="Times New Roman" w:cs="Simplified Arabic" w:hint="cs"/>
          <w:sz w:val="28"/>
          <w:szCs w:val="28"/>
        </w:rPr>
        <w:sym w:font="AGA Arabesque" w:char="F065"/>
      </w:r>
      <w:r w:rsidRPr="00E12BA3">
        <w:rPr>
          <w:rFonts w:ascii="Times New Roman" w:eastAsia="Times New Roman" w:hAnsi="Times New Roman" w:cs="Simplified Arabic" w:hint="cs"/>
          <w:sz w:val="28"/>
          <w:szCs w:val="28"/>
          <w:rtl/>
        </w:rPr>
        <w:t xml:space="preserve"> حتى لا تكتوي بنار مخالفتها له.</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2- شرع الزواج بأحكامه وضوابطه ليحفظ </w:t>
      </w:r>
      <w:proofErr w:type="spellStart"/>
      <w:r w:rsidRPr="00E12BA3">
        <w:rPr>
          <w:rFonts w:ascii="Times New Roman" w:eastAsia="Times New Roman" w:hAnsi="Times New Roman" w:cs="Simplified Arabic" w:hint="cs"/>
          <w:sz w:val="28"/>
          <w:szCs w:val="28"/>
          <w:rtl/>
        </w:rPr>
        <w:t>به</w:t>
      </w:r>
      <w:proofErr w:type="spellEnd"/>
      <w:r w:rsidRPr="00E12BA3">
        <w:rPr>
          <w:rFonts w:ascii="Times New Roman" w:eastAsia="Times New Roman" w:hAnsi="Times New Roman" w:cs="Simplified Arabic" w:hint="cs"/>
          <w:sz w:val="28"/>
          <w:szCs w:val="28"/>
          <w:rtl/>
        </w:rPr>
        <w:t xml:space="preserve"> وجود النسل واستمراره.</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3- اختلاف العلماء في حكم الزواج دليل على أهميته وعظمته، وقد خلصنا إلى القول في </w:t>
      </w:r>
      <w:r w:rsidRPr="00E12BA3">
        <w:rPr>
          <w:rFonts w:ascii="Times New Roman" w:eastAsia="Times New Roman" w:hAnsi="Times New Roman" w:cs="Simplified Arabic" w:hint="cs"/>
          <w:sz w:val="28"/>
          <w:szCs w:val="28"/>
          <w:rtl/>
        </w:rPr>
        <w:lastRenderedPageBreak/>
        <w:t>حكمه بالسنية والندب في العموم، كما قد يعتريه الأحكام الخمسة بالنسبة لحال الشخص.</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4- لقد كان للزواج من المقاصد ما جعلها العلماء أساساً في حفظ الكليات الخمس إضافة إلى المقاصد التبعية كالاستقرار النفسي وتحقيق الأنس وتنمية الروابط الأسرية والاجتماعية وغير ذلك.</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5- تظهر عظمة الحكمة من خلق الإنسان ليكون خليفة الله في أرضه في تكريم الله له على سائر المخلوقات وتسخير ما في الكون له، قال تعالى: ( وسخر لكم ما في السموات والأرض جميعاً منه).</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6- لقد كان للنسل والإكثار منه من الأهمية في الإسلام ما جعله الأساس في مشروعية الزواج وذكره العلماء على أنه الركيزة الأولى في بناء الأمم وتقدم حضارتها.</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7- يتوجب على الأمة المسلمة أن تسعى لتكثير نسلها والمحافظة عليه والتنبه لخطر الدعوات التي تواجهه كالدعوة إلى تحديد النسل وتقليل نسل الأمة بحجة قلة الموارد </w:t>
      </w:r>
      <w:proofErr w:type="spellStart"/>
      <w:r w:rsidRPr="00E12BA3">
        <w:rPr>
          <w:rFonts w:ascii="Times New Roman" w:eastAsia="Times New Roman" w:hAnsi="Times New Roman" w:cs="Simplified Arabic" w:hint="cs"/>
          <w:sz w:val="28"/>
          <w:szCs w:val="28"/>
          <w:rtl/>
        </w:rPr>
        <w:t>وتزايدعدد</w:t>
      </w:r>
      <w:proofErr w:type="spellEnd"/>
      <w:r w:rsidRPr="00E12BA3">
        <w:rPr>
          <w:rFonts w:ascii="Times New Roman" w:eastAsia="Times New Roman" w:hAnsi="Times New Roman" w:cs="Simplified Arabic" w:hint="cs"/>
          <w:sz w:val="28"/>
          <w:szCs w:val="28"/>
          <w:rtl/>
        </w:rPr>
        <w:t xml:space="preserve"> السكان وقد أثبتنا بطلان ذلك من </w:t>
      </w:r>
      <w:proofErr w:type="spellStart"/>
      <w:r w:rsidRPr="00E12BA3">
        <w:rPr>
          <w:rFonts w:ascii="Times New Roman" w:eastAsia="Times New Roman" w:hAnsi="Times New Roman" w:cs="Simplified Arabic" w:hint="cs"/>
          <w:sz w:val="28"/>
          <w:szCs w:val="28"/>
          <w:rtl/>
        </w:rPr>
        <w:t>الشرع</w:t>
      </w:r>
      <w:proofErr w:type="spellEnd"/>
      <w:r w:rsidRPr="00E12BA3">
        <w:rPr>
          <w:rFonts w:ascii="Times New Roman" w:eastAsia="Times New Roman" w:hAnsi="Times New Roman" w:cs="Simplified Arabic" w:hint="cs"/>
          <w:sz w:val="28"/>
          <w:szCs w:val="28"/>
          <w:rtl/>
        </w:rPr>
        <w:t xml:space="preserve"> والواقع وكلام أهل الاختصاص.</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7- ينبغي التفريق بين مسألتي تنظيم النسل وتحديده، فالتنظيم مباعدة بين فترات الولادة لمصلحة يراها الزوجان، والتحديد الاكتفاء بعدد معين، ورجحنا في تحديد النسل عدم الجواز إلا لضرورة معتبرة، وذهبنا إلى القول بجواز التنظيم رفعاً للحرج والمشقة، بشرط أن لا يكون ذلك قانوناً يلزم الناس </w:t>
      </w:r>
      <w:proofErr w:type="spellStart"/>
      <w:r w:rsidRPr="00E12BA3">
        <w:rPr>
          <w:rFonts w:ascii="Times New Roman" w:eastAsia="Times New Roman" w:hAnsi="Times New Roman" w:cs="Simplified Arabic" w:hint="cs"/>
          <w:sz w:val="28"/>
          <w:szCs w:val="28"/>
          <w:rtl/>
        </w:rPr>
        <w:t>به</w:t>
      </w:r>
      <w:proofErr w:type="spellEnd"/>
      <w:r w:rsidRPr="00E12BA3">
        <w:rPr>
          <w:rFonts w:ascii="Times New Roman" w:eastAsia="Times New Roman" w:hAnsi="Times New Roman" w:cs="Simplified Arabic" w:hint="cs"/>
          <w:sz w:val="28"/>
          <w:szCs w:val="28"/>
          <w:rtl/>
        </w:rPr>
        <w:t>؛ لأن الرخص لا تعمم.</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9- تأخذ حكم وسائل منع الحمل من حكم العزل، ويضاف لذلك شرطين أن تكون شرعية وأن لا تعود على الجسم بالضرر.</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10- ينبغي التنبه والحذر من أي دعوة تطلق عبر المؤتمرات السكانية والتي يرعاها صندوق الأمم المتحدة لرعاية الأمومة والطفولة، ولا يخفى خطر كيد الأعداء على الأمة خاصة وأن تلك الدعوات قد لاقت قبولاً في كثير من البلدان العربية والإسلامية، مما </w:t>
      </w:r>
      <w:proofErr w:type="spellStart"/>
      <w:r w:rsidRPr="00E12BA3">
        <w:rPr>
          <w:rFonts w:ascii="Times New Roman" w:eastAsia="Times New Roman" w:hAnsi="Times New Roman" w:cs="Simplified Arabic" w:hint="cs"/>
          <w:sz w:val="28"/>
          <w:szCs w:val="28"/>
          <w:rtl/>
        </w:rPr>
        <w:t>يجدر</w:t>
      </w:r>
      <w:proofErr w:type="spellEnd"/>
      <w:r w:rsidRPr="00E12BA3">
        <w:rPr>
          <w:rFonts w:ascii="Times New Roman" w:eastAsia="Times New Roman" w:hAnsi="Times New Roman" w:cs="Simplified Arabic" w:hint="cs"/>
          <w:sz w:val="28"/>
          <w:szCs w:val="28"/>
          <w:rtl/>
        </w:rPr>
        <w:t xml:space="preserve"> أن تتنبه الأمة عموماً لمثل ذلك، ويقوم العلماء بدورهم المطلوب في بيان الحكم الشرعي في ذلك.</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11- ذكرنا مؤتمر القاهرة كونه أقواها وأكبرها فقد حضره ما يقارب عشرون ألفا يمثلون مائة وتسعين دولة وفي بلد إسلامي والعجيب أنه لم يذكر فيه اسم الله تعالى البتة.</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12- أجاز الإسلام العلاج لمسألة العقم بالطرق المشروعة لأن الأولاد ضرورة في الحياة وعليه جوز العلماء مسألة التلقيح الاصطناعي (أطفال الأنابيب) بالأسلوب الأول والثاني، </w:t>
      </w:r>
      <w:r w:rsidRPr="00E12BA3">
        <w:rPr>
          <w:rFonts w:ascii="Times New Roman" w:eastAsia="Times New Roman" w:hAnsi="Times New Roman" w:cs="Simplified Arabic" w:hint="cs"/>
          <w:sz w:val="28"/>
          <w:szCs w:val="28"/>
          <w:rtl/>
        </w:rPr>
        <w:lastRenderedPageBreak/>
        <w:t>ورجحنا عدم جواز الأسلوب السابع لما يعتريه من الغموض وكثير من النزاعات والمشاكل.</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13- لقد جعل الله من مقاصد شرعه الحنيف حفظ النفس البشرية بصفة عامة ونفس المؤمن بصفة خاصة ولأجل هذا حرم العلماء الاعتداء على الجنين بالإجهاض وغيره لأنها نفس مؤمنة مآلها الوجود والحياة، وأخذنا بقول المانعين للإجهاض حتى ولو كان قبل الأربعين، والتحريم المطلق بعد النفخ إلا لإنقاذ حياة الأم بأدلة قطعية لا ظنية لأن الجنين منشأ حياة الإنسان وله حرمته، ولهذا أقر </w:t>
      </w:r>
      <w:proofErr w:type="spellStart"/>
      <w:r w:rsidRPr="00E12BA3">
        <w:rPr>
          <w:rFonts w:ascii="Times New Roman" w:eastAsia="Times New Roman" w:hAnsi="Times New Roman" w:cs="Simplified Arabic" w:hint="cs"/>
          <w:sz w:val="28"/>
          <w:szCs w:val="28"/>
          <w:rtl/>
        </w:rPr>
        <w:t>الشرع</w:t>
      </w:r>
      <w:proofErr w:type="spellEnd"/>
      <w:r w:rsidRPr="00E12BA3">
        <w:rPr>
          <w:rFonts w:ascii="Times New Roman" w:eastAsia="Times New Roman" w:hAnsi="Times New Roman" w:cs="Simplified Arabic" w:hint="cs"/>
          <w:sz w:val="28"/>
          <w:szCs w:val="28"/>
          <w:rtl/>
        </w:rPr>
        <w:t xml:space="preserve"> عقوبات دنيوية كالقصاص والحرمان من الميراث والدية غرة أو أمة مع الكفارة وعقوبات أخروية وهي العذاب الأليم والخلود في نار جهنم، كل ذلك تعظيماً لحرمة الجنين وتبييناً لخطورة مثل هذه المخالفات الشرعية والتي زاد انتشارها وعم بلاؤها.</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14- لا يخفى ما للقول بإباحة الإجهاض والسماح بنشر وسائله من عواقب وخيمة على النسل والمجتمع والمساعدة على نشر الرذيلة بين شباب وفتيات المسلمين. </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b/>
          <w:bCs/>
          <w:sz w:val="28"/>
          <w:szCs w:val="28"/>
          <w:rtl/>
        </w:rPr>
      </w:pPr>
      <w:r w:rsidRPr="00E12BA3">
        <w:rPr>
          <w:rFonts w:ascii="Times New Roman" w:eastAsia="Times New Roman" w:hAnsi="Times New Roman" w:cs="Simplified Arabic" w:hint="cs"/>
          <w:b/>
          <w:bCs/>
          <w:sz w:val="28"/>
          <w:szCs w:val="28"/>
          <w:rtl/>
        </w:rPr>
        <w:t>التوصيات:</w:t>
      </w:r>
      <w:r w:rsidRPr="00E12BA3">
        <w:rPr>
          <w:rFonts w:ascii="Times New Roman" w:eastAsia="Times New Roman" w:hAnsi="Times New Roman" w:cs="Simplified Arabic"/>
          <w:b/>
          <w:bCs/>
          <w:sz w:val="28"/>
          <w:szCs w:val="28"/>
          <w:rtl/>
        </w:rPr>
        <w:noBreakHyphen/>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tl/>
        </w:rPr>
      </w:pPr>
      <w:r w:rsidRPr="00E12BA3">
        <w:rPr>
          <w:rFonts w:ascii="Times New Roman" w:eastAsia="Times New Roman" w:hAnsi="Times New Roman" w:cs="Simplified Arabic" w:hint="cs"/>
          <w:sz w:val="28"/>
          <w:szCs w:val="28"/>
          <w:rtl/>
        </w:rPr>
        <w:t xml:space="preserve">1- الدعوة إلى عرض كل نازلة - صغيرة أو كبيرة </w:t>
      </w:r>
      <w:r w:rsidRPr="00E12BA3">
        <w:rPr>
          <w:rFonts w:ascii="Times New Roman" w:eastAsia="Times New Roman" w:hAnsi="Times New Roman" w:cs="Simplified Arabic"/>
          <w:sz w:val="28"/>
          <w:szCs w:val="28"/>
          <w:rtl/>
        </w:rPr>
        <w:t>–</w:t>
      </w:r>
      <w:r w:rsidRPr="00E12BA3">
        <w:rPr>
          <w:rFonts w:ascii="Times New Roman" w:eastAsia="Times New Roman" w:hAnsi="Times New Roman" w:cs="Simplified Arabic" w:hint="cs"/>
          <w:sz w:val="28"/>
          <w:szCs w:val="28"/>
          <w:rtl/>
        </w:rPr>
        <w:t xml:space="preserve"> على كتاب الله وسنة رسوله</w:t>
      </w:r>
      <w:r w:rsidRPr="00E12BA3">
        <w:rPr>
          <w:rFonts w:ascii="Times New Roman" w:eastAsia="Times New Roman" w:hAnsi="Times New Roman" w:cs="Simplified Arabic" w:hint="cs"/>
          <w:sz w:val="28"/>
          <w:szCs w:val="28"/>
        </w:rPr>
        <w:sym w:font="AGA Arabesque" w:char="F065"/>
      </w:r>
      <w:r w:rsidRPr="00E12BA3">
        <w:rPr>
          <w:rFonts w:ascii="Times New Roman" w:eastAsia="Times New Roman" w:hAnsi="Times New Roman" w:cs="Simplified Arabic" w:hint="cs"/>
          <w:sz w:val="28"/>
          <w:szCs w:val="28"/>
          <w:rtl/>
        </w:rPr>
        <w:t xml:space="preserve"> .</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Pr>
      </w:pPr>
      <w:r w:rsidRPr="00E12BA3">
        <w:rPr>
          <w:rFonts w:ascii="Times New Roman" w:eastAsia="Times New Roman" w:hAnsi="Times New Roman" w:cs="Simplified Arabic" w:hint="cs"/>
          <w:sz w:val="28"/>
          <w:szCs w:val="28"/>
          <w:rtl/>
        </w:rPr>
        <w:t>2- دعوة العلماء وطلاب العلم إلى بيان المسائل التي تتعلق بكلية النسل ، حفظا وعدما ؛لأنه لو عدم النسل لم يكن في العادة بقاء .</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Pr>
      </w:pPr>
      <w:r w:rsidRPr="00E12BA3">
        <w:rPr>
          <w:rFonts w:ascii="Times New Roman" w:eastAsia="Times New Roman" w:hAnsi="Times New Roman" w:cs="Simplified Arabic" w:hint="cs"/>
          <w:sz w:val="28"/>
          <w:szCs w:val="28"/>
          <w:rtl/>
        </w:rPr>
        <w:t>3- بيان التحذير من كيد الأعداء ومدى تآمرهم على الأمة الإسلامية في حرصهم الكبير على تقليل نسلها بنشر وسائل منع الحمل وعمليات الإجهاض وغير ذالك</w:t>
      </w:r>
    </w:p>
    <w:p w:rsidR="00D17A83" w:rsidRPr="00E12BA3" w:rsidRDefault="00D17A83" w:rsidP="00BE2670">
      <w:pPr>
        <w:widowControl w:val="0"/>
        <w:tabs>
          <w:tab w:val="left" w:pos="-144"/>
          <w:tab w:val="left" w:pos="423"/>
        </w:tabs>
        <w:spacing w:after="0"/>
        <w:rPr>
          <w:rFonts w:ascii="Times New Roman" w:eastAsia="Times New Roman" w:hAnsi="Times New Roman" w:cs="Simplified Arabic"/>
          <w:sz w:val="28"/>
          <w:szCs w:val="28"/>
        </w:rPr>
      </w:pPr>
      <w:r w:rsidRPr="00E12BA3">
        <w:rPr>
          <w:rFonts w:ascii="Times New Roman" w:eastAsia="Times New Roman" w:hAnsi="Times New Roman" w:cs="Simplified Arabic" w:hint="cs"/>
          <w:sz w:val="28"/>
          <w:szCs w:val="28"/>
          <w:rtl/>
        </w:rPr>
        <w:t>4- بيان أهداف المؤتمرات السكانية وفضح مخططاتها المشبوهة والتصدي لها بمؤتمرات إسلامية مماثله.</w:t>
      </w:r>
    </w:p>
    <w:p w:rsidR="00D17A83" w:rsidRPr="00E12BA3" w:rsidRDefault="00D17A83" w:rsidP="00F03046">
      <w:pPr>
        <w:widowControl w:val="0"/>
        <w:tabs>
          <w:tab w:val="left" w:pos="-144"/>
          <w:tab w:val="left" w:pos="423"/>
        </w:tabs>
        <w:spacing w:after="0"/>
        <w:rPr>
          <w:rFonts w:ascii="Times New Roman" w:eastAsia="Times New Roman" w:hAnsi="Times New Roman" w:cs="Simplified Arabic"/>
          <w:sz w:val="28"/>
          <w:szCs w:val="28"/>
        </w:rPr>
      </w:pPr>
      <w:r w:rsidRPr="00E12BA3">
        <w:rPr>
          <w:rFonts w:ascii="Times New Roman" w:eastAsia="Times New Roman" w:hAnsi="Times New Roman" w:cs="Simplified Arabic" w:hint="cs"/>
          <w:sz w:val="28"/>
          <w:szCs w:val="28"/>
          <w:rtl/>
        </w:rPr>
        <w:t>5- بيان خطورة مدى انتشار وسائل منع الحمل وعمليات الإجهاض في نشر الرذيلة والفساد بين وسائل الأمة</w:t>
      </w:r>
      <w:r w:rsidR="00F03046" w:rsidRPr="00E12BA3">
        <w:rPr>
          <w:rFonts w:ascii="Times New Roman" w:eastAsia="Times New Roman" w:hAnsi="Times New Roman" w:cs="Simplified Arabic" w:hint="cs"/>
          <w:sz w:val="28"/>
          <w:szCs w:val="28"/>
          <w:rtl/>
        </w:rPr>
        <w:t>.</w:t>
      </w:r>
    </w:p>
    <w:p w:rsidR="00533FAA" w:rsidRPr="00E12BA3" w:rsidRDefault="00533FAA" w:rsidP="00BE2670">
      <w:pPr>
        <w:widowControl w:val="0"/>
        <w:tabs>
          <w:tab w:val="left" w:pos="-144"/>
          <w:tab w:val="left" w:pos="423"/>
        </w:tabs>
        <w:spacing w:after="0" w:line="360" w:lineRule="auto"/>
        <w:rPr>
          <w:rFonts w:ascii="Times New Roman" w:eastAsia="Times New Roman" w:hAnsi="Times New Roman" w:cs="Simplified Arabic"/>
          <w:b/>
          <w:bCs/>
          <w:sz w:val="28"/>
          <w:szCs w:val="28"/>
        </w:rPr>
      </w:pPr>
    </w:p>
    <w:sectPr w:rsidR="00533FAA" w:rsidRPr="00E12BA3" w:rsidSect="00600898">
      <w:pgSz w:w="11906" w:h="16838"/>
      <w:pgMar w:top="126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D17A83"/>
    <w:rsid w:val="002D1B6F"/>
    <w:rsid w:val="00533FAA"/>
    <w:rsid w:val="00BE2670"/>
    <w:rsid w:val="00D17A83"/>
    <w:rsid w:val="00DC7268"/>
    <w:rsid w:val="00E12BA3"/>
    <w:rsid w:val="00F030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6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5</cp:revision>
  <dcterms:created xsi:type="dcterms:W3CDTF">2012-07-14T07:30:00Z</dcterms:created>
  <dcterms:modified xsi:type="dcterms:W3CDTF">2012-07-30T07:52:00Z</dcterms:modified>
</cp:coreProperties>
</file>